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12/19/2025 1:02:05 PM.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